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156" w:afterLines="50" w:afterAutospacing="0" w:line="500" w:lineRule="exact"/>
        <w:jc w:val="both"/>
        <w:rPr>
          <w:rFonts w:ascii="仿宋" w:hAnsi="仿宋" w:eastAsia="仿宋" w:cs="仿宋"/>
          <w:color w:val="000000"/>
          <w:sz w:val="32"/>
          <w:szCs w:val="32"/>
        </w:rPr>
      </w:pPr>
      <w:r>
        <w:rPr>
          <w:rFonts w:hint="eastAsia" w:ascii="仿宋" w:hAnsi="仿宋" w:eastAsia="仿宋" w:cs="仿宋"/>
          <w:color w:val="000000"/>
          <w:sz w:val="32"/>
          <w:szCs w:val="32"/>
        </w:rPr>
        <w:t>附件2：</w:t>
      </w:r>
      <w:r>
        <w:rPr>
          <w:rFonts w:hint="eastAsia" w:ascii="仿宋" w:hAnsi="仿宋" w:eastAsia="仿宋" w:cs="仿宋"/>
          <w:sz w:val="32"/>
          <w:szCs w:val="32"/>
        </w:rPr>
        <w:t>供应商入驻承诺书</w:t>
      </w:r>
    </w:p>
    <w:p>
      <w:pPr>
        <w:pStyle w:val="3"/>
        <w:widowControl/>
        <w:spacing w:beforeAutospacing="0" w:afterAutospacing="0" w:line="500" w:lineRule="exact"/>
        <w:jc w:val="center"/>
        <w:rPr>
          <w:rFonts w:ascii="仿宋" w:hAnsi="仿宋" w:eastAsia="仿宋" w:cs="仿宋"/>
          <w:b/>
          <w:sz w:val="36"/>
          <w:szCs w:val="36"/>
        </w:rPr>
      </w:pPr>
      <w:r>
        <w:rPr>
          <w:rFonts w:hint="eastAsia" w:ascii="仿宋" w:hAnsi="仿宋" w:eastAsia="仿宋" w:cs="仿宋"/>
          <w:b/>
          <w:sz w:val="36"/>
          <w:szCs w:val="36"/>
        </w:rPr>
        <w:t>供应商入驻承诺书</w:t>
      </w:r>
    </w:p>
    <w:p>
      <w:pPr>
        <w:pStyle w:val="3"/>
        <w:widowControl/>
        <w:spacing w:beforeAutospacing="0" w:afterAutospacing="0" w:line="440" w:lineRule="exact"/>
        <w:ind w:firstLine="643" w:firstLineChars="200"/>
        <w:jc w:val="both"/>
        <w:rPr>
          <w:rFonts w:ascii="仿宋" w:hAnsi="仿宋" w:eastAsia="仿宋" w:cs="仿宋"/>
          <w:b/>
          <w:color w:val="000000"/>
          <w:sz w:val="32"/>
          <w:szCs w:val="32"/>
        </w:rPr>
      </w:pPr>
      <w:r>
        <w:rPr>
          <w:rFonts w:hint="eastAsia" w:ascii="仿宋" w:hAnsi="仿宋" w:eastAsia="仿宋" w:cs="仿宋"/>
          <w:b/>
          <w:color w:val="000000"/>
          <w:sz w:val="32"/>
          <w:szCs w:val="32"/>
        </w:rPr>
        <w:t>一、供应商的权利与义务</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（一）权利</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我校</w:t>
      </w:r>
      <w:r>
        <w:rPr>
          <w:rFonts w:hint="eastAsia" w:ascii="仿宋" w:hAnsi="仿宋" w:eastAsia="仿宋" w:cs="仿宋"/>
          <w:color w:val="000000"/>
          <w:sz w:val="32"/>
          <w:szCs w:val="32"/>
          <w:lang w:eastAsia="zh-CN"/>
        </w:rPr>
        <w:t>网上商城</w:t>
      </w:r>
      <w:r>
        <w:rPr>
          <w:rFonts w:hint="eastAsia" w:ascii="仿宋" w:hAnsi="仿宋" w:eastAsia="仿宋" w:cs="仿宋"/>
          <w:color w:val="000000"/>
          <w:sz w:val="32"/>
          <w:szCs w:val="32"/>
        </w:rPr>
        <w:t>的入</w:t>
      </w:r>
      <w:r>
        <w:rPr>
          <w:rFonts w:hint="eastAsia" w:ascii="仿宋" w:hAnsi="仿宋" w:eastAsia="仿宋" w:cs="仿宋"/>
          <w:color w:val="000000"/>
          <w:sz w:val="32"/>
          <w:szCs w:val="32"/>
          <w:lang w:eastAsia="zh-CN"/>
        </w:rPr>
        <w:t>驻</w:t>
      </w:r>
      <w:bookmarkStart w:id="0" w:name="_GoBack"/>
      <w:bookmarkEnd w:id="0"/>
      <w:r>
        <w:rPr>
          <w:rFonts w:hint="eastAsia" w:ascii="仿宋" w:hAnsi="仿宋" w:eastAsia="仿宋" w:cs="仿宋"/>
          <w:color w:val="000000"/>
          <w:sz w:val="32"/>
          <w:szCs w:val="32"/>
        </w:rPr>
        <w:t>供应商享有在上述平台按相关规则开展经营服务活动的权利。具体包括：</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1．取得参与我校试剂和耗材采购活动的资格。</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2．公平和平等地获得采购信息。</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3．根据法律法规和采购项目具体要求参与学校试剂和耗材采购活动。</w:t>
      </w:r>
    </w:p>
    <w:p>
      <w:pPr>
        <w:pStyle w:val="3"/>
        <w:widowControl/>
        <w:numPr>
          <w:ilvl w:val="0"/>
          <w:numId w:val="1"/>
        </w:numPr>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对采购活动提出询问、质疑和投诉。</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5．根据法律规定对采购活动进行监督。</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6．其他合法权益。</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（二）义务</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1．遵守采购活动的法律、法规和制度规定。</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2．接受资格审查，并在审查中如实提供注册信息和资质文件。有关资质证件如果发生变更或更新时，应及时在系统上办理更新登记。</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xml:space="preserve">    3. 接受采购商城平台的统一管理，接受学校采购管理部门及监察部门的监督、管理。</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4. 供应商须保证所提供产品的质量符合国家标准、行业标准、企业标准或单项订单约定的质量标准，且不存在知识产权问题，并保证产品价格不能高于市场价。</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5. 供应商所提供的试剂和耗材必须遵守国家、地方和学校有关生产、经营、运输、销售、环保、安全等相关法律法规的规定。</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6. 供应商经营危险化学品的，必须遵守《危险化学品安全管理条例》（国务院令第 591 号） 和《西北农林科技大学实验室危险化学品安全管理细则》，且必须提供安全生产监督管理部门批准的有效期内的《危险化学品经营许可证》。</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7. 供应商须及时进行数据更新，确保用户通过</w:t>
      </w:r>
      <w:r>
        <w:rPr>
          <w:rFonts w:hint="eastAsia" w:ascii="仿宋" w:hAnsi="仿宋" w:eastAsia="仿宋" w:cs="仿宋"/>
          <w:color w:val="000000"/>
          <w:sz w:val="32"/>
          <w:szCs w:val="32"/>
          <w:lang w:eastAsia="zh-CN"/>
        </w:rPr>
        <w:t>网上商城</w:t>
      </w:r>
      <w:r>
        <w:rPr>
          <w:rFonts w:hint="eastAsia" w:ascii="仿宋" w:hAnsi="仿宋" w:eastAsia="仿宋" w:cs="仿宋"/>
          <w:color w:val="000000"/>
          <w:sz w:val="32"/>
          <w:szCs w:val="32"/>
        </w:rPr>
        <w:t>检索到的产品信息准确、有效，如出现产品断货、调价等情况，应在第一时间对网上数据进行修改。因供应商上传信息错误或更新不及时造成的损失，由供应商自行承担。</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8. 供应商应具有较强的本地化服务能力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一定的储备和应急保障能力。</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9. 供应商对货物运输过程、安装过程中对学校校内人员造成伤亡或者财产损失等由供应商承担全部责任。</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10. 法律、法规和规章规定的其他义务。</w:t>
      </w:r>
    </w:p>
    <w:p>
      <w:pPr>
        <w:pStyle w:val="3"/>
        <w:widowControl/>
        <w:spacing w:beforeAutospacing="0" w:afterAutospacing="0" w:line="440" w:lineRule="exact"/>
        <w:ind w:firstLine="643" w:firstLineChars="200"/>
        <w:jc w:val="both"/>
        <w:rPr>
          <w:rFonts w:ascii="仿宋" w:hAnsi="仿宋" w:eastAsia="仿宋" w:cs="仿宋"/>
          <w:color w:val="000000"/>
          <w:sz w:val="32"/>
          <w:szCs w:val="32"/>
        </w:rPr>
      </w:pPr>
      <w:r>
        <w:rPr>
          <w:rFonts w:hint="eastAsia" w:ascii="仿宋" w:hAnsi="仿宋" w:eastAsia="仿宋" w:cs="仿宋"/>
          <w:b/>
          <w:color w:val="000000"/>
          <w:sz w:val="32"/>
          <w:szCs w:val="32"/>
        </w:rPr>
        <w:t>二、其他</w:t>
      </w:r>
      <w:r>
        <w:rPr>
          <w:rFonts w:hint="eastAsia" w:ascii="仿宋" w:hAnsi="仿宋" w:eastAsia="仿宋" w:cs="仿宋"/>
          <w:b/>
          <w:color w:val="000000"/>
          <w:sz w:val="32"/>
          <w:szCs w:val="32"/>
        </w:rPr>
        <w:br w:type="textWrapping"/>
      </w:r>
      <w:r>
        <w:rPr>
          <w:rFonts w:hint="eastAsia" w:ascii="仿宋" w:hAnsi="仿宋" w:eastAsia="仿宋" w:cs="仿宋"/>
          <w:color w:val="000000"/>
          <w:sz w:val="32"/>
          <w:szCs w:val="32"/>
        </w:rPr>
        <w:t xml:space="preserve">    1. 学校有权对供应商履约及服务情况进行评价，历史信用评价信息将向校内采购执行人员及有关部门开放查询。在政府采购限额标准之下的采购活动中，学校可将供应商历史信用评价情况作为参与采购活动的资格条件和评分项。</w:t>
      </w:r>
    </w:p>
    <w:p>
      <w:pPr>
        <w:pStyle w:val="3"/>
        <w:widowControl/>
        <w:spacing w:beforeAutospacing="0" w:afterAutospacing="0" w:line="44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2. 如果供应商所提供产品出现一次假、冒、伪、劣情况的，我校</w:t>
      </w:r>
      <w:r>
        <w:rPr>
          <w:rFonts w:hint="eastAsia" w:ascii="仿宋" w:hAnsi="仿宋" w:eastAsia="仿宋" w:cs="仿宋"/>
          <w:color w:val="000000"/>
          <w:sz w:val="32"/>
          <w:szCs w:val="32"/>
          <w:lang w:eastAsia="zh-CN"/>
        </w:rPr>
        <w:t>将</w:t>
      </w:r>
      <w:r>
        <w:rPr>
          <w:rFonts w:hint="eastAsia" w:ascii="仿宋" w:hAnsi="仿宋" w:eastAsia="仿宋" w:cs="仿宋"/>
          <w:color w:val="000000"/>
          <w:sz w:val="32"/>
          <w:szCs w:val="32"/>
        </w:rPr>
        <w:t>直接取消其在</w:t>
      </w:r>
      <w:r>
        <w:rPr>
          <w:rFonts w:hint="eastAsia" w:ascii="仿宋" w:hAnsi="仿宋" w:eastAsia="仿宋" w:cs="仿宋"/>
          <w:color w:val="000000"/>
          <w:sz w:val="32"/>
          <w:szCs w:val="32"/>
          <w:lang w:eastAsia="zh-CN"/>
        </w:rPr>
        <w:t>网上商城</w:t>
      </w:r>
      <w:r>
        <w:rPr>
          <w:rFonts w:hint="eastAsia" w:ascii="仿宋" w:hAnsi="仿宋" w:eastAsia="仿宋" w:cs="仿宋"/>
          <w:color w:val="000000"/>
          <w:sz w:val="32"/>
          <w:szCs w:val="32"/>
        </w:rPr>
        <w:t>的销售资格，并保留追究法律责任的权利。</w:t>
      </w:r>
    </w:p>
    <w:p>
      <w:pPr>
        <w:pStyle w:val="3"/>
        <w:widowControl/>
        <w:spacing w:beforeAutospacing="0" w:afterAutospacing="0" w:line="440"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3. 供应商如提供产品虽有合格证，但使用效果一年时间内三次或三名用户认定不能达到应有试验效果，且协商不能彻底解决的，学校将从平台上取消该产品，如给学校用户造成损失的须按实际情况予以赔偿。</w:t>
      </w:r>
    </w:p>
    <w:p>
      <w:pPr>
        <w:pStyle w:val="3"/>
        <w:keepNext w:val="0"/>
        <w:keepLines w:val="0"/>
        <w:pageBreakBefore w:val="0"/>
        <w:widowControl/>
        <w:kinsoku/>
        <w:wordWrap/>
        <w:overflowPunct/>
        <w:topLinePunct w:val="0"/>
        <w:autoSpaceDE/>
        <w:autoSpaceDN/>
        <w:bidi w:val="0"/>
        <w:adjustRightInd/>
        <w:snapToGrid/>
        <w:spacing w:beforeAutospacing="0" w:afterAutospacing="0" w:line="280" w:lineRule="exact"/>
        <w:ind w:firstLine="640" w:firstLineChars="200"/>
        <w:jc w:val="both"/>
        <w:textAlignment w:val="auto"/>
        <w:rPr>
          <w:rFonts w:hint="eastAsia" w:ascii="仿宋" w:hAnsi="仿宋" w:eastAsia="仿宋" w:cs="仿宋"/>
          <w:color w:val="000000"/>
          <w:sz w:val="32"/>
          <w:szCs w:val="32"/>
        </w:rPr>
      </w:pP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180" w:type="dxa"/>
            <w:vAlign w:val="center"/>
          </w:tcPr>
          <w:p>
            <w:pPr>
              <w:pStyle w:val="3"/>
              <w:widowControl/>
              <w:spacing w:beforeAutospacing="0" w:afterAutospacing="0" w:line="440" w:lineRule="exact"/>
              <w:jc w:val="both"/>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本人已认真阅读上述内容和规则，并承诺严格遵守。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jc w:val="center"/>
        </w:trPr>
        <w:tc>
          <w:tcPr>
            <w:tcW w:w="9180"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请抄写以上文字，并签字盖章。</w:t>
            </w:r>
          </w:p>
          <w:tbl>
            <w:tblPr>
              <w:tblStyle w:val="5"/>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526"/>
              <w:gridCol w:w="526"/>
              <w:gridCol w:w="526"/>
              <w:gridCol w:w="526"/>
              <w:gridCol w:w="526"/>
              <w:gridCol w:w="526"/>
              <w:gridCol w:w="521"/>
              <w:gridCol w:w="531"/>
              <w:gridCol w:w="521"/>
              <w:gridCol w:w="532"/>
              <w:gridCol w:w="527"/>
              <w:gridCol w:w="528"/>
              <w:gridCol w:w="528"/>
              <w:gridCol w:w="528"/>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1"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31"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1"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32"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7"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8"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8"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8"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w:t>
                  </w:r>
                </w:p>
              </w:tc>
              <w:tc>
                <w:tcPr>
                  <w:tcW w:w="768" w:type="dxa"/>
                  <w:tcBorders>
                    <w:top w:val="nil"/>
                    <w:bottom w:val="nil"/>
                    <w:right w:val="nil"/>
                  </w:tcBorders>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6"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c>
                <w:tcPr>
                  <w:tcW w:w="521" w:type="dxa"/>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w:t>
                  </w:r>
                </w:p>
              </w:tc>
              <w:tc>
                <w:tcPr>
                  <w:tcW w:w="4463" w:type="dxa"/>
                  <w:gridSpan w:val="8"/>
                  <w:tcBorders>
                    <w:top w:val="nil"/>
                    <w:bottom w:val="nil"/>
                    <w:right w:val="nil"/>
                  </w:tcBorders>
                </w:tcPr>
                <w:p>
                  <w:pPr>
                    <w:pStyle w:val="3"/>
                    <w:widowControl/>
                    <w:spacing w:beforeAutospacing="0" w:afterAutospacing="0" w:line="440" w:lineRule="exact"/>
                    <w:jc w:val="both"/>
                    <w:rPr>
                      <w:rFonts w:ascii="仿宋" w:hAnsi="仿宋" w:eastAsia="仿宋" w:cs="仿宋"/>
                      <w:color w:val="333333"/>
                      <w:sz w:val="28"/>
                      <w:szCs w:val="28"/>
                      <w:shd w:val="clear" w:color="auto" w:fill="FFFFFF"/>
                    </w:rPr>
                  </w:pPr>
                </w:p>
              </w:tc>
            </w:tr>
          </w:tbl>
          <w:p>
            <w:pPr>
              <w:pStyle w:val="3"/>
              <w:widowControl/>
              <w:spacing w:beforeAutospacing="0" w:afterAutospacing="0" w:line="440" w:lineRule="exact"/>
              <w:jc w:val="both"/>
              <w:rPr>
                <w:rFonts w:ascii="仿宋" w:hAnsi="仿宋" w:eastAsia="仿宋" w:cs="仿宋"/>
                <w:color w:val="333333"/>
                <w:sz w:val="28"/>
                <w:szCs w:val="28"/>
                <w:u w:val="single"/>
                <w:shd w:val="clear" w:color="auto" w:fill="FFFFFF"/>
              </w:rPr>
            </w:pPr>
          </w:p>
          <w:p>
            <w:pPr>
              <w:widowControl/>
              <w:spacing w:line="440" w:lineRule="exact"/>
              <w:ind w:firstLine="3360" w:firstLineChars="1200"/>
              <w:rPr>
                <w:rFonts w:ascii="仿宋" w:hAnsi="仿宋" w:eastAsia="仿宋" w:cs="仿宋"/>
                <w:sz w:val="28"/>
                <w:szCs w:val="28"/>
                <w:u w:val="single"/>
              </w:rPr>
            </w:pPr>
            <w:r>
              <w:rPr>
                <w:rFonts w:hint="eastAsia" w:ascii="仿宋" w:hAnsi="仿宋" w:eastAsia="仿宋" w:cs="仿宋"/>
                <w:sz w:val="28"/>
                <w:szCs w:val="28"/>
              </w:rPr>
              <w:t>单位名称（盖章）：</w:t>
            </w:r>
          </w:p>
          <w:p>
            <w:pPr>
              <w:widowControl/>
              <w:spacing w:line="440" w:lineRule="exact"/>
              <w:ind w:firstLine="3360" w:firstLineChars="1200"/>
              <w:rPr>
                <w:rFonts w:ascii="仿宋" w:hAnsi="仿宋" w:eastAsia="仿宋" w:cs="仿宋"/>
                <w:sz w:val="28"/>
                <w:szCs w:val="28"/>
                <w:u w:val="single"/>
              </w:rPr>
            </w:pPr>
            <w:r>
              <w:rPr>
                <w:rFonts w:hint="eastAsia" w:ascii="仿宋" w:hAnsi="仿宋" w:eastAsia="仿宋" w:cs="仿宋"/>
                <w:sz w:val="28"/>
                <w:szCs w:val="28"/>
              </w:rPr>
              <w:t>法人签字:</w:t>
            </w:r>
          </w:p>
          <w:p>
            <w:pPr>
              <w:widowControl/>
              <w:spacing w:line="440" w:lineRule="exact"/>
              <w:ind w:firstLine="3360" w:firstLineChars="1200"/>
              <w:rPr>
                <w:rFonts w:ascii="仿宋" w:hAnsi="仿宋" w:eastAsia="仿宋" w:cs="仿宋"/>
                <w:color w:val="333333"/>
                <w:sz w:val="28"/>
                <w:szCs w:val="28"/>
                <w:u w:val="single"/>
                <w:shd w:val="clear" w:color="auto" w:fill="FFFFFF"/>
              </w:rPr>
            </w:pPr>
            <w:r>
              <w:rPr>
                <w:rFonts w:hint="eastAsia" w:ascii="仿宋" w:hAnsi="仿宋" w:eastAsia="仿宋" w:cs="仿宋"/>
                <w:sz w:val="28"/>
                <w:szCs w:val="28"/>
              </w:rPr>
              <w:t>时间：     年    月   日</w:t>
            </w:r>
          </w:p>
        </w:tc>
      </w:tr>
    </w:tbl>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8D31E"/>
    <w:multiLevelType w:val="singleLevel"/>
    <w:tmpl w:val="FDB8D31E"/>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81661"/>
    <w:rsid w:val="13381661"/>
    <w:rsid w:val="1FE4064E"/>
    <w:rsid w:val="4A102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2021-09-27T01:45:00Z</dcterms:created>
  <dc:creator>余丽娟</dc:creator>
  <cp:lastModifiedBy>余丽娟</cp:lastModifiedBy>
  <dcterms:modified xsi:type="dcterms:W3CDTF">2021-09-28T06:54:03Z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803FEF7AD3ED4B9B9AB65A6AF722A1D2</vt:lpwstr>
  </property>
</Properties>
</file>